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4162.010.26.1.5299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YAIR HASSAN BERMUDEZ GUZMAN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1114818692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01/ 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 Dic / 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1078058805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8823718583</w:t>
            </w:r>
          </w:p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 Las demás desarrolladas en el objeto contractual.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El contratista realizó el levantamiento, consolidación y análisis de la información relacionada con la cobertura, participación e impacto de los proyectos y actividades ejecutados por la Secretaría del Deporte y la Recreación en las zonas asignadas, utilizando instrumentos de observación, bases de datos institucionales y registros de campo para generar un informe técnico que permita valorar la efectividad de las intervenciones en el territorio</w:t>
              <w:br w:type="textWrapping"/>
              <w:t xml:space="preserve">Cuota 2. El contratista realizó el informe correspondiente cuantitativo y cualitativo respecto al seguimiento de las actividades y la data del programa</w:t>
              <w:br w:type="textWrapping"/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acompañé el desarrollo de procesos contractuales y jurídicos en el territorio mediante la implementación de mecanismos de seguimiento, autoevaluación y mejora continua. Se brindó orientación y coordinación permanente a los equipos operativos, asegurando el cumplimiento de las normativas y promoviendo la participación comunitaria, la gestión eficiente y el fortalecimiento institucional en el marco de los objetivos del área.</w:t>
              <w:br w:type="textWrapping"/>
              <w:t xml:space="preserve">Cuota 2 Durante este periodo, no fue requerido para desarrollar actividades vinculadas al cumplimiento de la obligación</w:t>
              <w:br w:type="textWrapping"/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realice seguimiento sistemático a las actividades desarrolladas en los escenarios deportivos asignados, mediante visitas de verificación y control en territorio, conforme a las líneas estratégicas del proyecto. Este proceso incluyó la recolección, sistematización y análisis de información documental y digital sobre los beneficiarios, asegurando trazabilidad y efectividad en la ejecución. Se fortalecieron así los mecanismos de monitoreo para garantizar el cumplimiento de objetivos y la calidad del servicio ofrecido.</w:t>
              <w:br w:type="textWrapping"/>
              <w:t xml:space="preserve">Cuota 2. El contratista verifico la inscripción de los beneficiarios de sus monitores en el SIDER del mes en curso</w:t>
              <w:br w:type="textWrapping"/>
            </w:r>
          </w:p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A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 Durante este periodo, no fue requerido para desarrollar actividades vinculadas al cumplimiento de la obligacion</w:t>
            </w:r>
          </w:p>
          <w:p w:rsidR="00000000" w:rsidDel="00000000" w:rsidP="00000000" w:rsidRDefault="00000000" w:rsidRPr="00000000" w14:paraId="000000B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4.2 El contratista se reunió con sus monitores de su zona para verificar el cumplimiento de la documentación de calidad del programa</w:t>
            </w:r>
          </w:p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 Adelante la planeación y el diligenciamiento del formato de parrilla correspondiente a los monitores deportivos asignados, garantizando la articulación con las líneas estratégicas del proyecto y la programación territorial. Este ejercicio incluyó la revisión de cobertura, horarios, escenarios y perfiles de los monitores, permitiendo una distribución eficiente de los recursos humanos y el aseguramiento de la oferta institucional en las diferentes zonas de intervención.</w:t>
              <w:br w:type="textWrapping"/>
              <w:t xml:space="preserve">5.2  El contratista diligencio la parrilla correspondiente para el mes en curso</w:t>
            </w:r>
          </w:p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6</w:t>
              <w:br w:type="textWrapping"/>
              <w:t xml:space="preserve">6.1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C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6.2 El contratista apoyo en el evento realizado en diciembre en la unidad Jaime Aparicio con la ciudadela de la Alegria una estacion de carreras y caminatas.</w:t>
            </w:r>
          </w:p>
          <w:p w:rsidR="00000000" w:rsidDel="00000000" w:rsidP="00000000" w:rsidRDefault="00000000" w:rsidRPr="00000000" w14:paraId="000000C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C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https://drive.google.com/drive/folders/1Iqxuol_AhBfbUNJOdfgqUgI_MgUPXAQO?usp=sharing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3810</wp:posOffset>
                  </wp:positionV>
                  <wp:extent cx="3076575" cy="927100"/>
                  <wp:effectExtent b="0" l="0" r="0" t="0"/>
                  <wp:wrapNone/>
                  <wp:docPr id="1667706310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927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D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qxuol_AhBfbUNJOdfgqUgI_MgUPXAQO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mIbzVq+m5bdcxe4RN9iVE0OX+A==">CgMxLjAyDmguc2YwbnhyNmh2OGh4OAByITFYSGF2Y05jY0FfZzZwQlp0c09ZVHZhOE5WQWtfZHVGYw==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2025-12-16T22:30:00Z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